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4E37C7" w:rsidP="00CC26C2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LIMUNSKA KISELINA 1-HIDRAT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CC26C2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CC26C2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DE1071" w:rsidRPr="00DE1071">
              <w:rPr>
                <w:rFonts w:eastAsiaTheme="minorHAnsi"/>
                <w:sz w:val="22"/>
                <w:szCs w:val="22"/>
                <w:lang w:val="en-US"/>
              </w:rPr>
              <w:t>5949-29-1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DE1071" w:rsidRPr="004E3207" w:rsidTr="00D2563A">
        <w:trPr>
          <w:trHeight w:val="1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skoro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kristalni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prašak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bezbojni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kristali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granule.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DE1071" w:rsidRPr="004E3207" w:rsidTr="00D2563A">
        <w:trPr>
          <w:trHeight w:val="1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(A,B,C,D,E)</w:t>
            </w: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rastvora</w:t>
            </w:r>
            <w:proofErr w:type="spellEnd"/>
          </w:p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istar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F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F55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52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F55">
              <w:rPr>
                <w:rFonts w:ascii="Times New Roman" w:hAnsi="Times New Roman" w:cs="Times New Roman"/>
                <w:sz w:val="24"/>
                <w:szCs w:val="24"/>
              </w:rPr>
              <w:t>intenzivnije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referentnog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rastvora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DE10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, BY7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GY</w:t>
            </w:r>
            <w:r w:rsidRPr="00DE10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 2.2.1</w:t>
            </w:r>
          </w:p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EP 2.2.2,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Supstance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koje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lako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ugljenišu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EP 2.2.2, </w:t>
            </w:r>
            <w:proofErr w:type="spell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Oksalna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kiselina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. 360 ppm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. 150 ppm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 2.4.13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Teški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metali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. 10 ppm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 2.4.8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7.5%-9.0%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 2.5.12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524F55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Sulfatni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pepeo</w:t>
            </w:r>
            <w:proofErr w:type="spellEnd"/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. 0.1%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 2.4.14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računato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kao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anhidrovana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limunska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kiselina</w:t>
            </w:r>
            <w:proofErr w:type="spellEnd"/>
            <w:r w:rsidRPr="00DE10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99.5%-100.5%</w:t>
            </w: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1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71" w:rsidRPr="004E3207" w:rsidTr="00D2563A">
        <w:trPr>
          <w:trHeight w:val="70"/>
        </w:trPr>
        <w:tc>
          <w:tcPr>
            <w:tcW w:w="3686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71" w:rsidRPr="00DE1071" w:rsidRDefault="00DE1071" w:rsidP="00DE1071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CC26C2" w:rsidRPr="004E3207" w:rsidTr="00E549E5">
        <w:trPr>
          <w:trHeight w:val="413"/>
        </w:trPr>
        <w:tc>
          <w:tcPr>
            <w:tcW w:w="7230" w:type="dxa"/>
            <w:vMerge w:val="restart"/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CC26C2" w:rsidRPr="004E3207" w:rsidRDefault="00DE1071" w:rsidP="00E549E5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sz w:val="36"/>
                <w:szCs w:val="36"/>
                <w:lang w:val="en-US"/>
              </w:rPr>
              <w:t>LIMUNSKA KISELINA 1-HIDRAT</w:t>
            </w:r>
          </w:p>
        </w:tc>
        <w:tc>
          <w:tcPr>
            <w:tcW w:w="2693" w:type="dxa"/>
          </w:tcPr>
          <w:p w:rsidR="00CC26C2" w:rsidRPr="004E3207" w:rsidRDefault="00CC26C2" w:rsidP="00E549E5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CC26C2" w:rsidRPr="004E3207" w:rsidRDefault="00CC26C2" w:rsidP="00E549E5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CC26C2" w:rsidRPr="004E3207" w:rsidTr="00E549E5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CC26C2" w:rsidRPr="004E3207" w:rsidRDefault="00CC26C2" w:rsidP="00E549E5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26C2" w:rsidRPr="004E3207" w:rsidRDefault="00CC26C2" w:rsidP="00E549E5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DE1071" w:rsidRPr="00DE1071">
              <w:rPr>
                <w:rFonts w:eastAsiaTheme="minorHAnsi"/>
                <w:sz w:val="22"/>
                <w:szCs w:val="22"/>
                <w:lang w:val="en-US"/>
              </w:rPr>
              <w:t>5949-29-1</w:t>
            </w:r>
          </w:p>
        </w:tc>
      </w:tr>
    </w:tbl>
    <w:p w:rsidR="00CC26C2" w:rsidRPr="00110C71" w:rsidRDefault="00CC26C2" w:rsidP="004E3207">
      <w:pPr>
        <w:jc w:val="left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2551"/>
        <w:gridCol w:w="2410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A73463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551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0A270D" w:rsidRPr="004E3207" w:rsidTr="00A73463">
        <w:trPr>
          <w:trHeight w:val="383"/>
        </w:trPr>
        <w:tc>
          <w:tcPr>
            <w:tcW w:w="1418" w:type="dxa"/>
          </w:tcPr>
          <w:p w:rsidR="000A270D" w:rsidRPr="004E3207" w:rsidRDefault="00DE107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0A270D" w:rsidRPr="00017068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teglica</w:t>
            </w:r>
            <w:proofErr w:type="spellEnd"/>
          </w:p>
        </w:tc>
        <w:tc>
          <w:tcPr>
            <w:tcW w:w="1418" w:type="dxa"/>
          </w:tcPr>
          <w:p w:rsidR="000A270D" w:rsidRPr="00017068" w:rsidRDefault="00DE1071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2A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</w:tcPr>
          <w:p w:rsidR="00352A37" w:rsidRDefault="00352A37" w:rsidP="002E12C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70D" w:rsidRPr="00017068" w:rsidRDefault="00DE1071" w:rsidP="002E12C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20kom x 500</w:t>
            </w:r>
            <w:r w:rsidR="00A734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52A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:rsidR="000A270D" w:rsidRPr="00017068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upakovane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sirovine</w:t>
            </w:r>
            <w:proofErr w:type="spellEnd"/>
          </w:p>
        </w:tc>
      </w:tr>
      <w:tr w:rsidR="00352A37" w:rsidRPr="004E3207" w:rsidTr="00A73463">
        <w:trPr>
          <w:trHeight w:val="383"/>
        </w:trPr>
        <w:tc>
          <w:tcPr>
            <w:tcW w:w="1418" w:type="dxa"/>
          </w:tcPr>
          <w:p w:rsidR="00352A37" w:rsidRDefault="00DE1071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352A37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vreća</w:t>
            </w:r>
            <w:proofErr w:type="spellEnd"/>
          </w:p>
        </w:tc>
        <w:tc>
          <w:tcPr>
            <w:tcW w:w="1418" w:type="dxa"/>
          </w:tcPr>
          <w:p w:rsidR="00352A37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25kg</w:t>
            </w:r>
          </w:p>
        </w:tc>
        <w:tc>
          <w:tcPr>
            <w:tcW w:w="2551" w:type="dxa"/>
          </w:tcPr>
          <w:p w:rsidR="00352A37" w:rsidRDefault="00352A37" w:rsidP="002E12C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2A37" w:rsidRDefault="00352A37" w:rsidP="002E12C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1kom. x 25kg</w:t>
            </w:r>
          </w:p>
        </w:tc>
        <w:tc>
          <w:tcPr>
            <w:tcW w:w="2410" w:type="dxa"/>
          </w:tcPr>
          <w:p w:rsidR="00352A37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upakovane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sirovine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524F55" w:rsidRPr="00524F55" w:rsidRDefault="00A73463" w:rsidP="00524F55">
            <w:pPr>
              <w:spacing w:before="60" w:after="60"/>
              <w:jc w:val="lef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73463">
              <w:rPr>
                <w:sz w:val="22"/>
                <w:szCs w:val="22"/>
                <w:lang w:val="en-US"/>
              </w:rPr>
              <w:t>Indeks</w:t>
            </w:r>
            <w:proofErr w:type="spellEnd"/>
            <w:r w:rsidRPr="00A734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463">
              <w:rPr>
                <w:sz w:val="22"/>
                <w:szCs w:val="22"/>
                <w:lang w:val="en-US"/>
              </w:rPr>
              <w:t>broj</w:t>
            </w:r>
            <w:proofErr w:type="spellEnd"/>
            <w:r w:rsidRPr="00A73463">
              <w:rPr>
                <w:sz w:val="22"/>
                <w:szCs w:val="22"/>
                <w:lang w:val="en-US"/>
              </w:rPr>
              <w:t xml:space="preserve">: </w:t>
            </w:r>
            <w:r w:rsidR="00524F55">
              <w:rPr>
                <w:b/>
                <w:sz w:val="22"/>
                <w:szCs w:val="22"/>
                <w:lang w:val="en-US"/>
              </w:rPr>
              <w:t>/</w:t>
            </w:r>
          </w:p>
          <w:p w:rsidR="00524F55" w:rsidRPr="007503F2" w:rsidRDefault="00524F55" w:rsidP="00524F55">
            <w:pPr>
              <w:ind w:left="284"/>
              <w:jc w:val="left"/>
              <w:rPr>
                <w:sz w:val="22"/>
                <w:szCs w:val="22"/>
                <w:lang w:val="en-US"/>
              </w:rPr>
            </w:pPr>
            <w:r w:rsidRPr="00524F55">
              <w:rPr>
                <w:b/>
                <w:noProof/>
                <w:szCs w:val="24"/>
                <w:lang w:val="en-US"/>
              </w:rPr>
              <w:drawing>
                <wp:inline distT="0" distB="0" distL="0" distR="0" wp14:anchorId="05C914F5" wp14:editId="0E35BE38">
                  <wp:extent cx="847725" cy="809625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14" cy="81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3F2">
              <w:rPr>
                <w:b/>
                <w:i/>
                <w:szCs w:val="24"/>
                <w:lang w:val="en-US"/>
              </w:rPr>
              <w:t xml:space="preserve">      </w:t>
            </w:r>
            <w:proofErr w:type="spellStart"/>
            <w:r w:rsidRPr="007503F2">
              <w:rPr>
                <w:b/>
                <w:i/>
                <w:sz w:val="22"/>
                <w:szCs w:val="22"/>
                <w:lang w:val="en-US"/>
              </w:rPr>
              <w:t>Reč</w:t>
            </w:r>
            <w:proofErr w:type="spellEnd"/>
            <w:r w:rsidRPr="007503F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03F2">
              <w:rPr>
                <w:b/>
                <w:i/>
                <w:sz w:val="22"/>
                <w:szCs w:val="22"/>
                <w:lang w:val="en-US"/>
              </w:rPr>
              <w:t>upozorenja</w:t>
            </w:r>
            <w:proofErr w:type="spellEnd"/>
            <w:r w:rsidRPr="007503F2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7503F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503F2">
              <w:rPr>
                <w:sz w:val="22"/>
                <w:szCs w:val="22"/>
                <w:lang w:val="en-US"/>
              </w:rPr>
              <w:t>PAŽNJA!</w:t>
            </w:r>
          </w:p>
          <w:p w:rsidR="008819F1" w:rsidRDefault="00524F55" w:rsidP="00524F55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          </w:t>
            </w:r>
            <w:r w:rsidRPr="00524F55">
              <w:rPr>
                <w:sz w:val="22"/>
                <w:szCs w:val="22"/>
                <w:lang w:val="en-US"/>
              </w:rPr>
              <w:t>GHS 07</w:t>
            </w:r>
          </w:p>
          <w:p w:rsidR="00524F55" w:rsidRDefault="00524F55" w:rsidP="00524F55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  <w:p w:rsidR="00524F55" w:rsidRPr="00524F55" w:rsidRDefault="00524F55" w:rsidP="00524F55">
            <w:pPr>
              <w:spacing w:before="60" w:after="60"/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24F55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524F55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524F55">
              <w:rPr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524F55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524F55" w:rsidRPr="00524F55" w:rsidRDefault="00524F55" w:rsidP="007503F2">
            <w:pPr>
              <w:spacing w:before="120" w:after="60"/>
              <w:jc w:val="left"/>
              <w:rPr>
                <w:sz w:val="22"/>
                <w:szCs w:val="22"/>
                <w:lang w:val="en-US"/>
              </w:rPr>
            </w:pPr>
            <w:r w:rsidRPr="00524F55">
              <w:rPr>
                <w:b/>
                <w:sz w:val="22"/>
                <w:szCs w:val="22"/>
                <w:lang w:val="en-US"/>
              </w:rPr>
              <w:t>H319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Dovodi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jake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iritacije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oka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>.</w:t>
            </w:r>
          </w:p>
          <w:p w:rsidR="00524F55" w:rsidRPr="00524F55" w:rsidRDefault="00524F55" w:rsidP="00524F55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  <w:p w:rsidR="00524F55" w:rsidRPr="00524F55" w:rsidRDefault="00524F55" w:rsidP="00524F55">
            <w:pPr>
              <w:spacing w:before="60" w:after="60"/>
              <w:jc w:val="left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24F55">
              <w:rPr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524F55">
              <w:rPr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524F55">
              <w:rPr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524F5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524F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524F55" w:rsidRDefault="00524F55" w:rsidP="007503F2">
            <w:pPr>
              <w:spacing w:before="120" w:after="60"/>
              <w:jc w:val="left"/>
              <w:rPr>
                <w:sz w:val="22"/>
                <w:szCs w:val="22"/>
                <w:lang w:val="en-US"/>
              </w:rPr>
            </w:pPr>
            <w:r w:rsidRPr="00524F55">
              <w:rPr>
                <w:b/>
                <w:sz w:val="22"/>
                <w:szCs w:val="22"/>
                <w:lang w:val="en-US"/>
              </w:rPr>
              <w:t>P305+P351+P338 - AKO DOSPE U OČI:</w:t>
            </w:r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Pažljivo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ispirati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nekoliko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minuta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kontaktna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sočiva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postoje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moguće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učiniti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Nastaviti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F55">
              <w:rPr>
                <w:sz w:val="22"/>
                <w:szCs w:val="22"/>
                <w:lang w:val="en-US"/>
              </w:rPr>
              <w:t>ispiranjem</w:t>
            </w:r>
            <w:proofErr w:type="spellEnd"/>
            <w:r w:rsidRPr="00524F55">
              <w:rPr>
                <w:sz w:val="22"/>
                <w:szCs w:val="22"/>
                <w:lang w:val="en-US"/>
              </w:rPr>
              <w:t>.</w:t>
            </w:r>
          </w:p>
          <w:p w:rsidR="00524F55" w:rsidRPr="008819F1" w:rsidRDefault="00524F55" w:rsidP="00524F55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="008819F1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Nije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predmet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transportnih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pravila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. Transport se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vršiti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uobičajenim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ambala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ži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suvom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15-25°C)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štićeno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svetlosti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0C534F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- Sa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proizvodom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rukovati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skladu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namenom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7503F2" w:rsidRPr="008D6B88" w:rsidRDefault="007503F2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4"/>
      <w:footerReference w:type="default" r:id="rId15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B2" w:rsidRDefault="00513FB2" w:rsidP="000D3CDC">
      <w:r>
        <w:separator/>
      </w:r>
    </w:p>
  </w:endnote>
  <w:endnote w:type="continuationSeparator" w:id="0">
    <w:p w:rsidR="00513FB2" w:rsidRDefault="00513FB2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4319F7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4319F7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B2" w:rsidRDefault="00513FB2" w:rsidP="000D3CDC">
      <w:r>
        <w:separator/>
      </w:r>
    </w:p>
  </w:footnote>
  <w:footnote w:type="continuationSeparator" w:id="0">
    <w:p w:rsidR="00513FB2" w:rsidRDefault="00513FB2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4E37C7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SP_GP_039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2F2274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SP_GP_039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6107"/>
    <w:multiLevelType w:val="hybridMultilevel"/>
    <w:tmpl w:val="4FF6237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270D"/>
    <w:rsid w:val="000A5E19"/>
    <w:rsid w:val="000B34D8"/>
    <w:rsid w:val="000C534F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01659"/>
    <w:rsid w:val="00222B55"/>
    <w:rsid w:val="00225AFB"/>
    <w:rsid w:val="002964AB"/>
    <w:rsid w:val="002A1C30"/>
    <w:rsid w:val="002A2F76"/>
    <w:rsid w:val="002D095A"/>
    <w:rsid w:val="002E12C8"/>
    <w:rsid w:val="002E4C00"/>
    <w:rsid w:val="002F2274"/>
    <w:rsid w:val="00325166"/>
    <w:rsid w:val="00343E30"/>
    <w:rsid w:val="00352A37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319F7"/>
    <w:rsid w:val="00447894"/>
    <w:rsid w:val="00453695"/>
    <w:rsid w:val="004675A6"/>
    <w:rsid w:val="004A56C1"/>
    <w:rsid w:val="004B3BA7"/>
    <w:rsid w:val="004D4312"/>
    <w:rsid w:val="004D486B"/>
    <w:rsid w:val="004E3207"/>
    <w:rsid w:val="004E37C7"/>
    <w:rsid w:val="004F7905"/>
    <w:rsid w:val="005058CF"/>
    <w:rsid w:val="00507B88"/>
    <w:rsid w:val="00511535"/>
    <w:rsid w:val="00513FB2"/>
    <w:rsid w:val="005234BF"/>
    <w:rsid w:val="00524F55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510F5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6F7D3F"/>
    <w:rsid w:val="0071527F"/>
    <w:rsid w:val="00720415"/>
    <w:rsid w:val="007204CD"/>
    <w:rsid w:val="007205CA"/>
    <w:rsid w:val="00744488"/>
    <w:rsid w:val="00745920"/>
    <w:rsid w:val="007503F2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63642"/>
    <w:rsid w:val="00877F6C"/>
    <w:rsid w:val="008818E4"/>
    <w:rsid w:val="008819F1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45A1"/>
    <w:rsid w:val="00A55C23"/>
    <w:rsid w:val="00A574A8"/>
    <w:rsid w:val="00A6250D"/>
    <w:rsid w:val="00A73463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02F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C26C2"/>
    <w:rsid w:val="00CD68C8"/>
    <w:rsid w:val="00D232C7"/>
    <w:rsid w:val="00D2563A"/>
    <w:rsid w:val="00D407EA"/>
    <w:rsid w:val="00D4643C"/>
    <w:rsid w:val="00D76B1B"/>
    <w:rsid w:val="00D83F98"/>
    <w:rsid w:val="00D974C4"/>
    <w:rsid w:val="00DA5529"/>
    <w:rsid w:val="00DA6EFD"/>
    <w:rsid w:val="00DB652D"/>
    <w:rsid w:val="00DC3A4C"/>
    <w:rsid w:val="00DC6D5C"/>
    <w:rsid w:val="00DD2CBB"/>
    <w:rsid w:val="00DE1071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341A"/>
    <w:rsid w:val="00E749DF"/>
    <w:rsid w:val="00E92830"/>
    <w:rsid w:val="00EB3730"/>
    <w:rsid w:val="00EF62D4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F43E-5726-4BDE-B2E5-000EDC22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53</cp:revision>
  <cp:lastPrinted>2019-03-14T14:26:00Z</cp:lastPrinted>
  <dcterms:created xsi:type="dcterms:W3CDTF">2016-04-10T20:25:00Z</dcterms:created>
  <dcterms:modified xsi:type="dcterms:W3CDTF">2019-03-14T14:26:00Z</dcterms:modified>
</cp:coreProperties>
</file>