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0B2711" w:rsidRDefault="003B5201" w:rsidP="004E3207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ETANOL 95-96</w:t>
            </w:r>
            <w:r w:rsidR="000B2711">
              <w:rPr>
                <w:rFonts w:eastAsiaTheme="minorHAnsi"/>
                <w:b/>
                <w:sz w:val="36"/>
                <w:szCs w:val="36"/>
                <w:lang w:val="en-US"/>
              </w:rPr>
              <w:t xml:space="preserve">% </w:t>
            </w:r>
          </w:p>
          <w:p w:rsidR="004E3207" w:rsidRPr="004E3207" w:rsidRDefault="000B2711" w:rsidP="000B2711">
            <w:pPr>
              <w:spacing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za</w:t>
            </w:r>
            <w:proofErr w:type="spellEnd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dezinfekciju</w:t>
            </w:r>
            <w:proofErr w:type="spellEnd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površina</w:t>
            </w:r>
            <w:proofErr w:type="spellEnd"/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0B2711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Interna specifikacija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0B2711" w:rsidRPr="000B2711">
              <w:rPr>
                <w:rFonts w:eastAsiaTheme="minorHAnsi"/>
                <w:sz w:val="22"/>
                <w:szCs w:val="22"/>
                <w:lang w:val="en-US"/>
              </w:rPr>
              <w:t>64-17-5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3B5201" w:rsidRPr="004E3207" w:rsidTr="00D2563A">
        <w:trPr>
          <w:trHeight w:val="170"/>
        </w:trPr>
        <w:tc>
          <w:tcPr>
            <w:tcW w:w="3686" w:type="dxa"/>
          </w:tcPr>
          <w:p w:rsidR="003B5201" w:rsidRDefault="003B520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Izgled</w:t>
            </w:r>
            <w:proofErr w:type="spellEnd"/>
          </w:p>
        </w:tc>
        <w:tc>
          <w:tcPr>
            <w:tcW w:w="3544" w:type="dxa"/>
          </w:tcPr>
          <w:p w:rsidR="003B5201" w:rsidRDefault="003B520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bezbojna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tečnost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mirisa</w:t>
            </w:r>
            <w:proofErr w:type="spellEnd"/>
          </w:p>
        </w:tc>
        <w:tc>
          <w:tcPr>
            <w:tcW w:w="2693" w:type="dxa"/>
          </w:tcPr>
          <w:p w:rsidR="003B5201" w:rsidRPr="000B2711" w:rsidRDefault="003B520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organoleptički</w:t>
            </w:r>
            <w:proofErr w:type="spellEnd"/>
          </w:p>
        </w:tc>
      </w:tr>
      <w:tr w:rsidR="000B2711" w:rsidRPr="004E3207" w:rsidTr="00D2563A">
        <w:trPr>
          <w:trHeight w:val="170"/>
        </w:trPr>
        <w:tc>
          <w:tcPr>
            <w:tcW w:w="3686" w:type="dxa"/>
          </w:tcPr>
          <w:p w:rsidR="000B2711" w:rsidRPr="00F91CC8" w:rsidRDefault="000B271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CC8">
              <w:rPr>
                <w:rFonts w:ascii="Times New Roman" w:hAnsi="Times New Roman" w:cs="Times New Roman"/>
                <w:b/>
                <w:sz w:val="24"/>
                <w:szCs w:val="24"/>
              </w:rPr>
              <w:t>Identifikacija</w:t>
            </w:r>
            <w:proofErr w:type="spellEnd"/>
          </w:p>
        </w:tc>
        <w:tc>
          <w:tcPr>
            <w:tcW w:w="3544" w:type="dxa"/>
          </w:tcPr>
          <w:p w:rsidR="000B2711" w:rsidRPr="00F45917" w:rsidRDefault="000B271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  <w:proofErr w:type="spellEnd"/>
          </w:p>
        </w:tc>
        <w:tc>
          <w:tcPr>
            <w:tcW w:w="2693" w:type="dxa"/>
          </w:tcPr>
          <w:p w:rsidR="000B2711" w:rsidRDefault="003B5201" w:rsidP="00F849C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3B5201" w:rsidRPr="004E3207" w:rsidTr="00D2563A">
        <w:trPr>
          <w:trHeight w:val="170"/>
        </w:trPr>
        <w:tc>
          <w:tcPr>
            <w:tcW w:w="3686" w:type="dxa"/>
          </w:tcPr>
          <w:p w:rsidR="003B5201" w:rsidRPr="00B96C87" w:rsidRDefault="003B5201" w:rsidP="00253475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Relativna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gustina</w:t>
            </w:r>
            <w:proofErr w:type="spellEnd"/>
            <w:r>
              <w:rPr>
                <w:b/>
                <w:szCs w:val="24"/>
              </w:rPr>
              <w:t xml:space="preserve"> (20°C)</w:t>
            </w:r>
          </w:p>
        </w:tc>
        <w:tc>
          <w:tcPr>
            <w:tcW w:w="3544" w:type="dxa"/>
          </w:tcPr>
          <w:p w:rsidR="003B5201" w:rsidRPr="000D3CDC" w:rsidRDefault="003B5201" w:rsidP="0025347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0,805-0,812</w:t>
            </w:r>
          </w:p>
        </w:tc>
        <w:tc>
          <w:tcPr>
            <w:tcW w:w="2693" w:type="dxa"/>
          </w:tcPr>
          <w:p w:rsidR="003B5201" w:rsidRPr="000D3CDC" w:rsidRDefault="003B5201" w:rsidP="0025347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2.2.5</w:t>
            </w:r>
          </w:p>
        </w:tc>
      </w:tr>
      <w:tr w:rsidR="003B5201" w:rsidRPr="000D3CDC" w:rsidTr="00253475">
        <w:trPr>
          <w:trHeight w:val="170"/>
        </w:trPr>
        <w:tc>
          <w:tcPr>
            <w:tcW w:w="3686" w:type="dxa"/>
          </w:tcPr>
          <w:p w:rsidR="003B5201" w:rsidRPr="00F91CC8" w:rsidRDefault="003B5201" w:rsidP="00253475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 v/v, 20°C)</w:t>
            </w:r>
          </w:p>
        </w:tc>
        <w:tc>
          <w:tcPr>
            <w:tcW w:w="3544" w:type="dxa"/>
          </w:tcPr>
          <w:p w:rsidR="003B5201" w:rsidRPr="000D3CDC" w:rsidRDefault="003B5201" w:rsidP="0025347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95,1% - 96,9% </w:t>
            </w:r>
          </w:p>
        </w:tc>
        <w:tc>
          <w:tcPr>
            <w:tcW w:w="2693" w:type="dxa"/>
          </w:tcPr>
          <w:p w:rsidR="003B5201" w:rsidRPr="000D3CDC" w:rsidRDefault="003B5201" w:rsidP="0025347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2.2.5</w:t>
            </w:r>
          </w:p>
        </w:tc>
      </w:tr>
      <w:tr w:rsidR="003B5201" w:rsidRPr="004E3207" w:rsidTr="00D2563A">
        <w:trPr>
          <w:trHeight w:val="170"/>
        </w:trPr>
        <w:tc>
          <w:tcPr>
            <w:tcW w:w="3686" w:type="dxa"/>
          </w:tcPr>
          <w:p w:rsidR="003B5201" w:rsidRPr="00F91CC8" w:rsidRDefault="003B5201" w:rsidP="00253475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B5201" w:rsidRDefault="003B5201" w:rsidP="0025347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5201" w:rsidRDefault="003B5201" w:rsidP="0025347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11" w:rsidRPr="004E3207" w:rsidTr="00D2563A">
        <w:trPr>
          <w:trHeight w:val="60"/>
        </w:trPr>
        <w:tc>
          <w:tcPr>
            <w:tcW w:w="3686" w:type="dxa"/>
          </w:tcPr>
          <w:p w:rsidR="000B2711" w:rsidRPr="00B96C87" w:rsidRDefault="000B271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Pr="0024162F" w:rsidRDefault="000B2711" w:rsidP="008D0C24">
            <w:pPr>
              <w:spacing w:before="120" w:after="120"/>
              <w:rPr>
                <w:szCs w:val="24"/>
                <w:vertAlign w:val="superscript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60"/>
        </w:trPr>
        <w:tc>
          <w:tcPr>
            <w:tcW w:w="3686" w:type="dxa"/>
          </w:tcPr>
          <w:p w:rsidR="000B2711" w:rsidRDefault="000B2711" w:rsidP="000B2711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Default="000B2711" w:rsidP="000B2711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60"/>
        </w:trPr>
        <w:tc>
          <w:tcPr>
            <w:tcW w:w="3686" w:type="dxa"/>
          </w:tcPr>
          <w:p w:rsidR="000B2711" w:rsidRDefault="000B2711" w:rsidP="000B2711">
            <w:pPr>
              <w:spacing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Default="000B2711" w:rsidP="000B2711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60"/>
        </w:trPr>
        <w:tc>
          <w:tcPr>
            <w:tcW w:w="3686" w:type="dxa"/>
          </w:tcPr>
          <w:p w:rsidR="000B2711" w:rsidRDefault="000B2711" w:rsidP="000B2711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Default="000B2711" w:rsidP="000B2711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70"/>
        </w:trPr>
        <w:tc>
          <w:tcPr>
            <w:tcW w:w="3686" w:type="dxa"/>
          </w:tcPr>
          <w:p w:rsidR="000B2711" w:rsidRPr="00B96C87" w:rsidRDefault="000B271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Pr="0024162F" w:rsidRDefault="000B2711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70"/>
        </w:trPr>
        <w:tc>
          <w:tcPr>
            <w:tcW w:w="3686" w:type="dxa"/>
          </w:tcPr>
          <w:p w:rsidR="000B2711" w:rsidRPr="00B96C87" w:rsidRDefault="000B271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Pr="0024162F" w:rsidRDefault="000B2711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9F" w:rsidRPr="00A01653" w:rsidTr="008D0C24">
        <w:trPr>
          <w:trHeight w:val="70"/>
        </w:trPr>
        <w:tc>
          <w:tcPr>
            <w:tcW w:w="3686" w:type="dxa"/>
          </w:tcPr>
          <w:p w:rsidR="00E3789F" w:rsidRPr="00B96C8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5E58CB" w:rsidRPr="004E3207" w:rsidTr="00F849CD">
        <w:trPr>
          <w:trHeight w:val="413"/>
        </w:trPr>
        <w:tc>
          <w:tcPr>
            <w:tcW w:w="7230" w:type="dxa"/>
            <w:vMerge w:val="restart"/>
          </w:tcPr>
          <w:p w:rsidR="005E58CB" w:rsidRPr="004E3207" w:rsidRDefault="005E58CB" w:rsidP="00F849CD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5E58CB" w:rsidRDefault="003B5201" w:rsidP="00F849CD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ETANOL 95-96</w:t>
            </w:r>
            <w:r w:rsidR="005E58CB">
              <w:rPr>
                <w:rFonts w:eastAsiaTheme="minorHAnsi"/>
                <w:b/>
                <w:sz w:val="36"/>
                <w:szCs w:val="36"/>
                <w:lang w:val="en-US"/>
              </w:rPr>
              <w:t xml:space="preserve">% </w:t>
            </w:r>
          </w:p>
          <w:p w:rsidR="005E58CB" w:rsidRPr="004E3207" w:rsidRDefault="005E58CB" w:rsidP="00F849CD">
            <w:pPr>
              <w:spacing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za</w:t>
            </w:r>
            <w:proofErr w:type="spellEnd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dezinfekciju</w:t>
            </w:r>
            <w:proofErr w:type="spellEnd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B2711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površina</w:t>
            </w:r>
            <w:proofErr w:type="spellEnd"/>
          </w:p>
        </w:tc>
        <w:tc>
          <w:tcPr>
            <w:tcW w:w="2693" w:type="dxa"/>
          </w:tcPr>
          <w:p w:rsidR="005E58CB" w:rsidRPr="004E3207" w:rsidRDefault="005E58CB" w:rsidP="00F849CD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5E58CB" w:rsidRPr="004E3207" w:rsidRDefault="005E58CB" w:rsidP="00F849CD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Interna specifikacija</w:t>
            </w:r>
          </w:p>
        </w:tc>
      </w:tr>
      <w:tr w:rsidR="005E58CB" w:rsidRPr="004E3207" w:rsidTr="00F849CD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5E58CB" w:rsidRPr="004E3207" w:rsidRDefault="005E58CB" w:rsidP="00F849CD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58CB" w:rsidRPr="004E3207" w:rsidRDefault="005E58CB" w:rsidP="00F849CD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0B2711">
              <w:rPr>
                <w:rFonts w:eastAsiaTheme="minorHAnsi"/>
                <w:sz w:val="22"/>
                <w:szCs w:val="22"/>
                <w:lang w:val="en-US"/>
              </w:rPr>
              <w:t>64-17-5</w:t>
            </w:r>
          </w:p>
        </w:tc>
      </w:tr>
    </w:tbl>
    <w:p w:rsidR="005E58CB" w:rsidRPr="004E3207" w:rsidRDefault="005E58CB" w:rsidP="004E3207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7"/>
        <w:gridCol w:w="3260"/>
        <w:gridCol w:w="1276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5E58CB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552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260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5E58CB" w:rsidRPr="004E3207" w:rsidTr="005E58CB">
        <w:trPr>
          <w:trHeight w:val="383"/>
        </w:trPr>
        <w:tc>
          <w:tcPr>
            <w:tcW w:w="1418" w:type="dxa"/>
          </w:tcPr>
          <w:p w:rsidR="005E58CB" w:rsidRDefault="003B5201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672</w:t>
            </w:r>
          </w:p>
        </w:tc>
        <w:tc>
          <w:tcPr>
            <w:tcW w:w="2552" w:type="dxa"/>
          </w:tcPr>
          <w:p w:rsidR="005E58CB" w:rsidRDefault="005E58CB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</w:t>
            </w:r>
            <w:proofErr w:type="spellEnd"/>
          </w:p>
        </w:tc>
        <w:tc>
          <w:tcPr>
            <w:tcW w:w="1417" w:type="dxa"/>
          </w:tcPr>
          <w:p w:rsidR="005E58CB" w:rsidRDefault="005E58CB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3260" w:type="dxa"/>
          </w:tcPr>
          <w:p w:rsidR="005E58CB" w:rsidRPr="00017068" w:rsidRDefault="005E58CB" w:rsidP="00F849CD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12kom x 1L</w:t>
            </w:r>
          </w:p>
        </w:tc>
        <w:tc>
          <w:tcPr>
            <w:tcW w:w="1276" w:type="dxa"/>
          </w:tcPr>
          <w:p w:rsidR="005E58CB" w:rsidRPr="00017068" w:rsidRDefault="005E58CB" w:rsidP="00F849CD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5E58CB" w:rsidRPr="004E3207" w:rsidTr="005E58CB">
        <w:trPr>
          <w:trHeight w:val="383"/>
        </w:trPr>
        <w:tc>
          <w:tcPr>
            <w:tcW w:w="1418" w:type="dxa"/>
          </w:tcPr>
          <w:p w:rsidR="005E58CB" w:rsidRDefault="003B5201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673</w:t>
            </w:r>
          </w:p>
        </w:tc>
        <w:tc>
          <w:tcPr>
            <w:tcW w:w="2552" w:type="dxa"/>
          </w:tcPr>
          <w:p w:rsidR="005E58CB" w:rsidRDefault="005E58CB" w:rsidP="00F849CD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</w:t>
            </w:r>
            <w:proofErr w:type="spellEnd"/>
          </w:p>
        </w:tc>
        <w:tc>
          <w:tcPr>
            <w:tcW w:w="1417" w:type="dxa"/>
          </w:tcPr>
          <w:p w:rsidR="005E58CB" w:rsidRDefault="005E58CB" w:rsidP="00F849CD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  <w:tc>
          <w:tcPr>
            <w:tcW w:w="3260" w:type="dxa"/>
          </w:tcPr>
          <w:p w:rsidR="005E58CB" w:rsidRPr="00017068" w:rsidRDefault="005E58CB" w:rsidP="00F849CD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1kom x 5L</w:t>
            </w:r>
          </w:p>
        </w:tc>
        <w:tc>
          <w:tcPr>
            <w:tcW w:w="1276" w:type="dxa"/>
          </w:tcPr>
          <w:p w:rsidR="005E58CB" w:rsidRPr="00017068" w:rsidRDefault="005E58CB" w:rsidP="00F849CD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3B5201" w:rsidRPr="004E3207" w:rsidTr="005E58CB">
        <w:trPr>
          <w:trHeight w:val="383"/>
        </w:trPr>
        <w:tc>
          <w:tcPr>
            <w:tcW w:w="1418" w:type="dxa"/>
          </w:tcPr>
          <w:p w:rsidR="003B5201" w:rsidRDefault="003B5201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674</w:t>
            </w:r>
          </w:p>
        </w:tc>
        <w:tc>
          <w:tcPr>
            <w:tcW w:w="2552" w:type="dxa"/>
          </w:tcPr>
          <w:p w:rsidR="003B5201" w:rsidRDefault="003B5201" w:rsidP="00F849CD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kontejner</w:t>
            </w:r>
            <w:proofErr w:type="spellEnd"/>
          </w:p>
        </w:tc>
        <w:tc>
          <w:tcPr>
            <w:tcW w:w="1417" w:type="dxa"/>
          </w:tcPr>
          <w:p w:rsidR="003B5201" w:rsidRDefault="003B5201" w:rsidP="00F849CD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</w:t>
            </w:r>
          </w:p>
        </w:tc>
        <w:tc>
          <w:tcPr>
            <w:tcW w:w="3260" w:type="dxa"/>
          </w:tcPr>
          <w:p w:rsidR="003B5201" w:rsidRPr="00017068" w:rsidRDefault="003B5201" w:rsidP="00253475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1kom x 10L</w:t>
            </w:r>
          </w:p>
        </w:tc>
        <w:tc>
          <w:tcPr>
            <w:tcW w:w="1276" w:type="dxa"/>
          </w:tcPr>
          <w:p w:rsidR="003B5201" w:rsidRPr="00017068" w:rsidRDefault="003B5201" w:rsidP="0025347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3B5201" w:rsidRPr="004E3207" w:rsidTr="005E58CB">
        <w:trPr>
          <w:trHeight w:val="383"/>
        </w:trPr>
        <w:tc>
          <w:tcPr>
            <w:tcW w:w="1418" w:type="dxa"/>
          </w:tcPr>
          <w:p w:rsidR="003B5201" w:rsidRDefault="003B5201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967</w:t>
            </w:r>
          </w:p>
        </w:tc>
        <w:tc>
          <w:tcPr>
            <w:tcW w:w="2552" w:type="dxa"/>
          </w:tcPr>
          <w:p w:rsidR="003B5201" w:rsidRDefault="003B5201" w:rsidP="00F849CD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bure</w:t>
            </w:r>
          </w:p>
        </w:tc>
        <w:tc>
          <w:tcPr>
            <w:tcW w:w="1417" w:type="dxa"/>
          </w:tcPr>
          <w:p w:rsidR="003B5201" w:rsidRDefault="003B5201" w:rsidP="00F849CD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50L</w:t>
            </w:r>
          </w:p>
        </w:tc>
        <w:tc>
          <w:tcPr>
            <w:tcW w:w="3260" w:type="dxa"/>
          </w:tcPr>
          <w:p w:rsidR="003B5201" w:rsidRPr="00017068" w:rsidRDefault="003B5201" w:rsidP="00253475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1kom x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0L</w:t>
            </w:r>
          </w:p>
        </w:tc>
        <w:tc>
          <w:tcPr>
            <w:tcW w:w="1276" w:type="dxa"/>
          </w:tcPr>
          <w:p w:rsidR="003B5201" w:rsidRPr="00017068" w:rsidRDefault="003B5201" w:rsidP="0025347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8D6B88" w:rsidRPr="008D6B88" w:rsidRDefault="008D6B88" w:rsidP="00DF7B9B">
            <w:pPr>
              <w:spacing w:before="120" w:after="60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Indeks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463D16" w:rsidRPr="00463D16">
              <w:rPr>
                <w:rFonts w:eastAsiaTheme="minorHAnsi"/>
                <w:b/>
                <w:sz w:val="22"/>
                <w:szCs w:val="22"/>
                <w:lang w:val="en-US"/>
              </w:rPr>
              <w:t>603-002-00-5</w:t>
            </w:r>
          </w:p>
          <w:p w:rsidR="008D6B88" w:rsidRPr="008D6B88" w:rsidRDefault="008D6B88" w:rsidP="00DF7B9B">
            <w:pPr>
              <w:spacing w:before="120"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2A00894" wp14:editId="3075F6F3">
                  <wp:extent cx="708175" cy="675861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0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Pisano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upozorenje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OPASNOST!</w:t>
            </w: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463D16" w:rsidRPr="00463D16" w:rsidRDefault="00463D16" w:rsidP="00463D16">
            <w:pPr>
              <w:jc w:val="left"/>
              <w:rPr>
                <w:sz w:val="22"/>
                <w:szCs w:val="22"/>
                <w:lang w:val="sr-Latn-CS"/>
              </w:rPr>
            </w:pPr>
            <w:r w:rsidRPr="00463D16">
              <w:rPr>
                <w:b/>
                <w:sz w:val="22"/>
                <w:szCs w:val="22"/>
                <w:lang w:val="en-US"/>
              </w:rPr>
              <w:t>H225</w:t>
            </w:r>
            <w:r w:rsidRPr="00463D16">
              <w:rPr>
                <w:sz w:val="22"/>
                <w:szCs w:val="22"/>
                <w:lang w:val="en-US"/>
              </w:rPr>
              <w:tab/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Lako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r w:rsidRPr="00463D16">
              <w:rPr>
                <w:sz w:val="22"/>
                <w:szCs w:val="22"/>
                <w:lang w:val="sr-Latn-CS"/>
              </w:rPr>
              <w:t>zapaljiva tečnost i para.</w:t>
            </w:r>
          </w:p>
          <w:p w:rsidR="00463D16" w:rsidRPr="00463D16" w:rsidRDefault="00463D16" w:rsidP="00463D16">
            <w:pPr>
              <w:jc w:val="left"/>
              <w:rPr>
                <w:sz w:val="22"/>
                <w:szCs w:val="22"/>
                <w:lang w:val="en-US"/>
              </w:rPr>
            </w:pPr>
          </w:p>
          <w:p w:rsidR="00463D16" w:rsidRPr="00463D16" w:rsidRDefault="00463D16" w:rsidP="00463D16">
            <w:pPr>
              <w:contextualSpacing/>
              <w:jc w:val="left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63D16">
              <w:rPr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463D16">
              <w:rPr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63D16">
              <w:rPr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463D16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463D16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463D16" w:rsidRPr="00463D16" w:rsidRDefault="00463D16" w:rsidP="00463D16">
            <w:pPr>
              <w:spacing w:before="120"/>
              <w:ind w:right="-567"/>
              <w:jc w:val="left"/>
              <w:rPr>
                <w:sz w:val="22"/>
                <w:szCs w:val="22"/>
                <w:lang w:val="en-US"/>
              </w:rPr>
            </w:pPr>
            <w:r w:rsidRPr="00463D16">
              <w:rPr>
                <w:b/>
                <w:sz w:val="22"/>
                <w:szCs w:val="22"/>
                <w:lang w:val="en-US"/>
              </w:rPr>
              <w:t xml:space="preserve">P210 -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Držati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dalje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od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izvora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toplote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varnica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otvorenog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plamena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vrućih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površina-Zabranjeno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pušenje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>.</w:t>
            </w:r>
          </w:p>
          <w:p w:rsidR="004E3207" w:rsidRPr="00463D16" w:rsidRDefault="00463D16" w:rsidP="00463D16">
            <w:pPr>
              <w:spacing w:after="120"/>
              <w:jc w:val="left"/>
              <w:rPr>
                <w:sz w:val="22"/>
                <w:szCs w:val="22"/>
                <w:lang w:val="sr-Latn-CS"/>
              </w:rPr>
            </w:pPr>
            <w:r w:rsidRPr="00463D16">
              <w:rPr>
                <w:b/>
                <w:sz w:val="22"/>
                <w:szCs w:val="22"/>
                <w:lang w:val="sr-Latn-CS"/>
              </w:rPr>
              <w:t xml:space="preserve">P403+P235 - </w:t>
            </w:r>
            <w:r w:rsidRPr="00463D16">
              <w:rPr>
                <w:sz w:val="22"/>
                <w:szCs w:val="22"/>
                <w:lang w:val="sr-Latn-CS"/>
              </w:rPr>
              <w:t>Čuvati u prostoriji sa dobrom ventilacijom. Držati na hladnom.</w:t>
            </w: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zadovoljavaju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ADR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propise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0463D16" w:rsidRPr="00463D16">
              <w:rPr>
                <w:rFonts w:eastAsiaTheme="minorHAnsi"/>
                <w:b/>
                <w:sz w:val="22"/>
                <w:szCs w:val="22"/>
                <w:lang w:val="en-US"/>
              </w:rPr>
              <w:t>1170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klasa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opasnosti: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3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ambalažna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grupa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="00981E04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  <w:r w:rsidR="00463D16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(15-25°C)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provetrenom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bilo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kakvih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Pr="008D6B88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 Pre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rukovanja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hemikalijom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pročitati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informacije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date u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bezbednosnom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listu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  <w:tr w:rsidR="00463D16" w:rsidRPr="004E3207" w:rsidTr="008D6B88">
        <w:trPr>
          <w:trHeight w:val="60"/>
        </w:trPr>
        <w:tc>
          <w:tcPr>
            <w:tcW w:w="9923" w:type="dxa"/>
            <w:gridSpan w:val="5"/>
          </w:tcPr>
          <w:p w:rsidR="00463D16" w:rsidRPr="00463D16" w:rsidRDefault="00463D16" w:rsidP="00463D16">
            <w:pPr>
              <w:spacing w:before="60" w:after="60"/>
              <w:jc w:val="left"/>
              <w:rPr>
                <w:rFonts w:eastAsiaTheme="minorHAnsi"/>
                <w:sz w:val="20"/>
                <w:lang w:val="en-US"/>
              </w:rPr>
            </w:pPr>
            <w:proofErr w:type="spellStart"/>
            <w:r w:rsidRPr="00463D16">
              <w:rPr>
                <w:rFonts w:eastAsiaTheme="minorHAnsi"/>
                <w:b/>
                <w:i/>
                <w:sz w:val="20"/>
                <w:lang w:val="en-US"/>
              </w:rPr>
              <w:t>Napomena</w:t>
            </w:r>
            <w:proofErr w:type="spellEnd"/>
            <w:r w:rsidRPr="00463D16">
              <w:rPr>
                <w:rFonts w:eastAsiaTheme="minorHAnsi"/>
                <w:b/>
                <w:i/>
                <w:sz w:val="20"/>
                <w:lang w:val="en-US"/>
              </w:rPr>
              <w:t>:</w:t>
            </w:r>
            <w:r w:rsidRPr="00463D16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Proizvod</w:t>
            </w:r>
            <w:proofErr w:type="spellEnd"/>
            <w:r w:rsidRPr="00463D16">
              <w:rPr>
                <w:rFonts w:eastAsiaTheme="minorHAnsi"/>
                <w:sz w:val="20"/>
                <w:lang w:val="en-US"/>
              </w:rPr>
              <w:t xml:space="preserve"> se </w:t>
            </w: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koristi</w:t>
            </w:r>
            <w:proofErr w:type="spellEnd"/>
            <w:r w:rsidRPr="00463D16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kao</w:t>
            </w:r>
            <w:proofErr w:type="spellEnd"/>
            <w:r w:rsidRPr="00463D16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Pr="00463D16">
              <w:rPr>
                <w:rFonts w:eastAsiaTheme="minorHAnsi"/>
                <w:sz w:val="20"/>
                <w:lang w:val="en-US"/>
              </w:rPr>
              <w:t>biocidni</w:t>
            </w:r>
            <w:proofErr w:type="spellEnd"/>
            <w:r w:rsidR="003B5201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="003B5201">
              <w:rPr>
                <w:rFonts w:eastAsiaTheme="minorHAnsi"/>
                <w:sz w:val="20"/>
                <w:lang w:val="en-US"/>
              </w:rPr>
              <w:t>proizvod-Rešenje</w:t>
            </w:r>
            <w:proofErr w:type="spellEnd"/>
            <w:r w:rsidR="003B5201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="003B5201">
              <w:rPr>
                <w:rFonts w:eastAsiaTheme="minorHAnsi"/>
                <w:sz w:val="20"/>
                <w:lang w:val="en-US"/>
              </w:rPr>
              <w:t>broj</w:t>
            </w:r>
            <w:proofErr w:type="spellEnd"/>
            <w:r w:rsidR="003B5201">
              <w:rPr>
                <w:rFonts w:eastAsiaTheme="minorHAnsi"/>
                <w:sz w:val="20"/>
                <w:lang w:val="en-US"/>
              </w:rPr>
              <w:t xml:space="preserve"> 532-943</w:t>
            </w:r>
            <w:r w:rsidRPr="00463D16">
              <w:rPr>
                <w:rFonts w:eastAsiaTheme="minorHAnsi"/>
                <w:sz w:val="20"/>
                <w:lang w:val="en-US"/>
              </w:rPr>
              <w:t>/2010-03 od 30.05.2011</w:t>
            </w: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4"/>
      <w:footerReference w:type="default" r:id="rId15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CC" w:rsidRDefault="00221FCC" w:rsidP="000D3CDC">
      <w:r>
        <w:separator/>
      </w:r>
    </w:p>
  </w:endnote>
  <w:endnote w:type="continuationSeparator" w:id="0">
    <w:p w:rsidR="00221FCC" w:rsidRDefault="00221FCC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CC" w:rsidRDefault="00221FCC" w:rsidP="000D3CDC">
      <w:r>
        <w:separator/>
      </w:r>
    </w:p>
  </w:footnote>
  <w:footnote w:type="continuationSeparator" w:id="0">
    <w:p w:rsidR="00221FCC" w:rsidRDefault="00221FCC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3B5201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SP_GP_022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3B5201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SP_GP_022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Default="00C95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8275C4"/>
    <w:multiLevelType w:val="hybridMultilevel"/>
    <w:tmpl w:val="5E82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5E19"/>
    <w:rsid w:val="000B2711"/>
    <w:rsid w:val="000B34D8"/>
    <w:rsid w:val="000C60E8"/>
    <w:rsid w:val="000D3CDC"/>
    <w:rsid w:val="000E34E8"/>
    <w:rsid w:val="0010066A"/>
    <w:rsid w:val="00101A84"/>
    <w:rsid w:val="00103D20"/>
    <w:rsid w:val="00104631"/>
    <w:rsid w:val="001204D2"/>
    <w:rsid w:val="0013605A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21FCC"/>
    <w:rsid w:val="00222B55"/>
    <w:rsid w:val="00225AFB"/>
    <w:rsid w:val="002936DD"/>
    <w:rsid w:val="002964AB"/>
    <w:rsid w:val="002A1C30"/>
    <w:rsid w:val="002A2F76"/>
    <w:rsid w:val="002E4C00"/>
    <w:rsid w:val="00325166"/>
    <w:rsid w:val="00343E30"/>
    <w:rsid w:val="0037215C"/>
    <w:rsid w:val="00396889"/>
    <w:rsid w:val="003B2B54"/>
    <w:rsid w:val="003B5201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3D16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5E58CB"/>
    <w:rsid w:val="00610E8C"/>
    <w:rsid w:val="00617FFC"/>
    <w:rsid w:val="0062106D"/>
    <w:rsid w:val="00625BF0"/>
    <w:rsid w:val="00642953"/>
    <w:rsid w:val="006433A1"/>
    <w:rsid w:val="00666D51"/>
    <w:rsid w:val="00673BED"/>
    <w:rsid w:val="00683EEA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71254A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83793"/>
    <w:rsid w:val="00792AE3"/>
    <w:rsid w:val="00796589"/>
    <w:rsid w:val="007A220E"/>
    <w:rsid w:val="007D2563"/>
    <w:rsid w:val="007F28BC"/>
    <w:rsid w:val="00804C4B"/>
    <w:rsid w:val="00804D15"/>
    <w:rsid w:val="00821B46"/>
    <w:rsid w:val="00822C6F"/>
    <w:rsid w:val="00835394"/>
    <w:rsid w:val="008525BF"/>
    <w:rsid w:val="00853995"/>
    <w:rsid w:val="008547B0"/>
    <w:rsid w:val="00877F6C"/>
    <w:rsid w:val="008818E4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81E04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95678"/>
    <w:rsid w:val="00CB4342"/>
    <w:rsid w:val="00CD68C8"/>
    <w:rsid w:val="00D232C7"/>
    <w:rsid w:val="00D2563A"/>
    <w:rsid w:val="00D25E7D"/>
    <w:rsid w:val="00D407EA"/>
    <w:rsid w:val="00D4643C"/>
    <w:rsid w:val="00D76B1B"/>
    <w:rsid w:val="00D83F98"/>
    <w:rsid w:val="00D974C4"/>
    <w:rsid w:val="00DA6EFD"/>
    <w:rsid w:val="00DB652D"/>
    <w:rsid w:val="00DC1D90"/>
    <w:rsid w:val="00DC3A4C"/>
    <w:rsid w:val="00DC6D5C"/>
    <w:rsid w:val="00DD2CBB"/>
    <w:rsid w:val="00DF495E"/>
    <w:rsid w:val="00DF675C"/>
    <w:rsid w:val="00DF7B9B"/>
    <w:rsid w:val="00E21DA2"/>
    <w:rsid w:val="00E33EA6"/>
    <w:rsid w:val="00E3789F"/>
    <w:rsid w:val="00E37E91"/>
    <w:rsid w:val="00E509AB"/>
    <w:rsid w:val="00E56FBA"/>
    <w:rsid w:val="00E60185"/>
    <w:rsid w:val="00E7191B"/>
    <w:rsid w:val="00E749DF"/>
    <w:rsid w:val="00E92830"/>
    <w:rsid w:val="00EB3730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1278-2C46-45D5-8BFC-DAC5A699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49</cp:revision>
  <cp:lastPrinted>2016-02-03T14:08:00Z</cp:lastPrinted>
  <dcterms:created xsi:type="dcterms:W3CDTF">2016-04-10T20:25:00Z</dcterms:created>
  <dcterms:modified xsi:type="dcterms:W3CDTF">2018-11-05T13:00:00Z</dcterms:modified>
</cp:coreProperties>
</file>